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7098" w14:textId="7664259B" w:rsidR="00DF3A14" w:rsidRDefault="00DF3A14" w:rsidP="00C41B65">
      <w:pPr>
        <w:pBdr>
          <w:bottom w:val="single" w:sz="12" w:space="1" w:color="auto"/>
        </w:pBdr>
        <w:rPr>
          <w:b/>
          <w:sz w:val="24"/>
        </w:rPr>
      </w:pPr>
      <w:bookmarkStart w:id="0" w:name="_GoBack"/>
      <w:bookmarkEnd w:id="0"/>
      <w:r w:rsidRPr="00DF3A14">
        <w:rPr>
          <w:b/>
          <w:sz w:val="24"/>
        </w:rPr>
        <w:t>2017 – 2020 Strategic Plan</w:t>
      </w:r>
      <w:r w:rsidR="00C41B65">
        <w:rPr>
          <w:b/>
          <w:sz w:val="24"/>
        </w:rPr>
        <w:t xml:space="preserve">: </w:t>
      </w:r>
      <w:r w:rsidRPr="00DF3A14">
        <w:rPr>
          <w:b/>
          <w:sz w:val="24"/>
        </w:rPr>
        <w:t>Mission Fulfillment and Core Theme Alignment Chart</w:t>
      </w:r>
    </w:p>
    <w:p w14:paraId="32CF9A2B" w14:textId="77777777" w:rsidR="003111E0" w:rsidRPr="00DF3A14" w:rsidRDefault="00DF3A14" w:rsidP="00DF3A14">
      <w:pPr>
        <w:rPr>
          <w:i/>
        </w:rPr>
      </w:pPr>
      <w:r w:rsidRPr="00DF3A14">
        <w:rPr>
          <w:i/>
        </w:rPr>
        <w:t xml:space="preserve">LWTech Mission: </w:t>
      </w:r>
      <w:r w:rsidR="003111E0" w:rsidRPr="00DF3A14">
        <w:rPr>
          <w:i/>
        </w:rPr>
        <w:t>To prepare students for today's careers and tomorrow's opportunities.</w:t>
      </w:r>
    </w:p>
    <w:p w14:paraId="615A4241" w14:textId="77777777" w:rsidR="003111E0" w:rsidRPr="00DF3A14" w:rsidRDefault="00DF3A14" w:rsidP="003111E0">
      <w:pPr>
        <w:rPr>
          <w:i/>
        </w:rPr>
      </w:pPr>
      <w:r w:rsidRPr="00DF3A14">
        <w:rPr>
          <w:i/>
        </w:rPr>
        <w:t xml:space="preserve">LWTech Core Themes: </w:t>
      </w:r>
      <w:r w:rsidR="003111E0" w:rsidRPr="00DF3A14">
        <w:rPr>
          <w:i/>
        </w:rPr>
        <w:t>In support of our mission, the following core themes state the essential work done at LWTech to achieve its mission.</w:t>
      </w:r>
    </w:p>
    <w:p w14:paraId="5EACA143" w14:textId="77777777" w:rsidR="00DF3A14" w:rsidRPr="00DF3A14" w:rsidRDefault="003111E0" w:rsidP="003111E0">
      <w:pPr>
        <w:pStyle w:val="ListParagraph"/>
        <w:numPr>
          <w:ilvl w:val="0"/>
          <w:numId w:val="3"/>
        </w:numPr>
        <w:rPr>
          <w:i/>
        </w:rPr>
      </w:pPr>
      <w:r w:rsidRPr="00DF3A14">
        <w:rPr>
          <w:i/>
        </w:rPr>
        <w:t xml:space="preserve">Pathways: Lake Washington Institute of Technology is accessible to the community by providing multiple entrance points and educational pathways.  The college is a conduit for students to upgrade their skills, transition into new careers, or further their education and training. </w:t>
      </w:r>
    </w:p>
    <w:p w14:paraId="1FB36587" w14:textId="77777777" w:rsidR="00DF3A14" w:rsidRPr="00DF3A14" w:rsidRDefault="003111E0" w:rsidP="003111E0">
      <w:pPr>
        <w:pStyle w:val="ListParagraph"/>
        <w:numPr>
          <w:ilvl w:val="0"/>
          <w:numId w:val="3"/>
        </w:numPr>
        <w:rPr>
          <w:i/>
        </w:rPr>
      </w:pPr>
      <w:r w:rsidRPr="00DF3A14">
        <w:rPr>
          <w:i/>
        </w:rPr>
        <w:t>Student Achievement: At Lake Washington Institute of Technology, students gain the skills and knowledge needed to achieve their educational goals and to participate in the workforce.</w:t>
      </w:r>
    </w:p>
    <w:p w14:paraId="404AABE2" w14:textId="77777777" w:rsidR="00DF3A14" w:rsidRPr="00DF3A14" w:rsidRDefault="003111E0" w:rsidP="003111E0">
      <w:pPr>
        <w:pStyle w:val="ListParagraph"/>
        <w:numPr>
          <w:ilvl w:val="0"/>
          <w:numId w:val="3"/>
        </w:numPr>
        <w:rPr>
          <w:i/>
        </w:rPr>
      </w:pPr>
      <w:r w:rsidRPr="00DF3A14">
        <w:rPr>
          <w:i/>
        </w:rPr>
        <w:t xml:space="preserve">External Engagement: Lake Washington Institute of Technology forms partnerships with governmental and community organizations, educational institutions, business, and labor in order to effectively support the Institution's mission. </w:t>
      </w:r>
    </w:p>
    <w:p w14:paraId="0BB0CDA7" w14:textId="77777777" w:rsidR="003111E0" w:rsidRDefault="003111E0" w:rsidP="003111E0">
      <w:pPr>
        <w:pStyle w:val="ListParagraph"/>
        <w:numPr>
          <w:ilvl w:val="0"/>
          <w:numId w:val="3"/>
        </w:numPr>
        <w:rPr>
          <w:i/>
        </w:rPr>
      </w:pPr>
      <w:r w:rsidRPr="00DF3A14">
        <w:rPr>
          <w:i/>
        </w:rPr>
        <w:t>College Community: Lake Washington Institute of Technology provides a safe, supported and engaging learning environment for students and work environment for faculty and staff.</w:t>
      </w:r>
    </w:p>
    <w:p w14:paraId="18CE3D43" w14:textId="72466F02" w:rsidR="00DF3A14" w:rsidRPr="00DF3A14" w:rsidRDefault="00DF3A14" w:rsidP="00DF3A14">
      <w:r w:rsidRPr="00DF3A14">
        <w:t>2017-2020 Strategic Planning goals and strategies are intentionally aligned with the college’s core themes and ultimately mission fulfillment. Thoughtful an</w:t>
      </w:r>
      <w:r>
        <w:t>al</w:t>
      </w:r>
      <w:r w:rsidRPr="00DF3A14">
        <w:t xml:space="preserve">ysis and work went in to ensuring </w:t>
      </w:r>
      <w:r w:rsidR="00C41B65">
        <w:t>the strategic plan and its</w:t>
      </w:r>
      <w:r>
        <w:t xml:space="preserve"> associated activities would bring the college closer to mission fulfillment as described in the chart below.</w:t>
      </w:r>
    </w:p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3613"/>
        <w:gridCol w:w="2224"/>
        <w:gridCol w:w="8666"/>
      </w:tblGrid>
      <w:tr w:rsidR="00FD7F17" w:rsidRPr="00A461A2" w14:paraId="453185B8" w14:textId="77777777" w:rsidTr="00C41B65">
        <w:tc>
          <w:tcPr>
            <w:tcW w:w="36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B10F2A8" w14:textId="77777777" w:rsidR="00FD7F17" w:rsidRPr="00A461A2" w:rsidRDefault="00FD7F17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Goal/Strategy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439DD2B" w14:textId="77777777" w:rsidR="00FD7F17" w:rsidRPr="00A461A2" w:rsidRDefault="00FD7F17" w:rsidP="00D5297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Theme Alignment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AE66EB3" w14:textId="77777777" w:rsidR="00FD7F17" w:rsidRPr="00A461A2" w:rsidRDefault="00FD7F17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 Fulfillment</w:t>
            </w:r>
          </w:p>
        </w:tc>
      </w:tr>
      <w:tr w:rsidR="00FD7F17" w:rsidRPr="00A461A2" w14:paraId="40CE53D7" w14:textId="77777777" w:rsidTr="00C41B65">
        <w:tc>
          <w:tcPr>
            <w:tcW w:w="361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7E3C2A1" w14:textId="77777777" w:rsidR="00FD7F17" w:rsidRPr="003111E0" w:rsidRDefault="00FD7F17" w:rsidP="00D52979">
            <w:pPr>
              <w:spacing w:after="0"/>
              <w:rPr>
                <w:rFonts w:cstheme="minorHAnsi"/>
                <w:b/>
              </w:rPr>
            </w:pPr>
            <w:r w:rsidRPr="003111E0">
              <w:rPr>
                <w:rFonts w:cstheme="minorHAnsi"/>
                <w:b/>
              </w:rPr>
              <w:t xml:space="preserve">Goal1: </w:t>
            </w:r>
            <w:r w:rsidRPr="003111E0">
              <w:rPr>
                <w:rFonts w:cstheme="minorHAnsi"/>
              </w:rPr>
              <w:t>Increase access and completion rates for all students, and close opportunity gaps for under-represented students.</w:t>
            </w:r>
          </w:p>
          <w:p w14:paraId="17AE6BB7" w14:textId="77777777" w:rsidR="00FD7F17" w:rsidRPr="003111E0" w:rsidRDefault="00FD7F17" w:rsidP="00D5297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828B882" w14:textId="77777777" w:rsidR="00C41B65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Pathways</w:t>
            </w:r>
          </w:p>
          <w:p w14:paraId="677D3217" w14:textId="77777777" w:rsidR="00C41B65" w:rsidRDefault="00C64F3F" w:rsidP="00C41B6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Achievement</w:t>
            </w:r>
          </w:p>
          <w:p w14:paraId="1966FB10" w14:textId="5CAB7DBA" w:rsidR="00FD7F17" w:rsidRPr="00A461A2" w:rsidRDefault="00FD7F17" w:rsidP="00C41B65">
            <w:pPr>
              <w:spacing w:after="0"/>
              <w:rPr>
                <w:b/>
                <w:sz w:val="20"/>
                <w:szCs w:val="20"/>
              </w:rPr>
            </w:pPr>
            <w:r w:rsidRPr="00D6273A">
              <w:rPr>
                <w:b/>
                <w:sz w:val="20"/>
                <w:szCs w:val="20"/>
              </w:rPr>
              <w:t>External Engagement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D6B19EC" w14:textId="77BDB2C9" w:rsidR="00400B77" w:rsidRPr="00A461A2" w:rsidRDefault="00D62B2E" w:rsidP="00400B77">
            <w:pPr>
              <w:spacing w:after="0"/>
              <w:rPr>
                <w:i/>
                <w:sz w:val="20"/>
                <w:szCs w:val="20"/>
              </w:rPr>
            </w:pPr>
            <w:r w:rsidRPr="00D62B2E">
              <w:rPr>
                <w:i/>
                <w:sz w:val="20"/>
                <w:szCs w:val="20"/>
              </w:rPr>
              <w:t xml:space="preserve">The college’s mission, “to prepare students for today’s careers and tomorrow’s opportunities,” is predicated upon making the college experience available to all who seek technical and job training. </w:t>
            </w:r>
            <w:r w:rsidR="00400B77">
              <w:rPr>
                <w:i/>
                <w:sz w:val="20"/>
                <w:szCs w:val="20"/>
              </w:rPr>
              <w:t>Easier access</w:t>
            </w:r>
            <w:r w:rsidRPr="00D62B2E">
              <w:rPr>
                <w:i/>
                <w:sz w:val="20"/>
                <w:szCs w:val="20"/>
              </w:rPr>
              <w:t xml:space="preserve"> could lead to increased chances of enrollment, thus leading to an increased chance for completion. Students cannot complete if they do not enroll and students who complete are p</w:t>
            </w:r>
            <w:r w:rsidR="00400B77">
              <w:rPr>
                <w:i/>
                <w:sz w:val="20"/>
                <w:szCs w:val="20"/>
              </w:rPr>
              <w:t>repared for employment. College data indicate some populations are more likely to have access and complete than others; mission fulfillment is for all, not some, of the college’s students.</w:t>
            </w:r>
          </w:p>
        </w:tc>
      </w:tr>
      <w:tr w:rsidR="00C41B65" w:rsidRPr="00A461A2" w14:paraId="19EE5802" w14:textId="77777777" w:rsidTr="00C41B65">
        <w:tc>
          <w:tcPr>
            <w:tcW w:w="3613" w:type="dxa"/>
            <w:shd w:val="clear" w:color="auto" w:fill="auto"/>
          </w:tcPr>
          <w:p w14:paraId="4FB252AF" w14:textId="3B2E9DE8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  <w:r w:rsidRPr="00A461A2">
              <w:rPr>
                <w:b/>
                <w:sz w:val="20"/>
                <w:szCs w:val="20"/>
              </w:rPr>
              <w:t xml:space="preserve"> 1: </w:t>
            </w:r>
            <w:r w:rsidRPr="00D6273A">
              <w:rPr>
                <w:sz w:val="20"/>
                <w:szCs w:val="20"/>
              </w:rPr>
              <w:t>Identify and define opportunity gaps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2D6BC196" w14:textId="2CC9221E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>Student Achievement-</w:t>
            </w:r>
            <w:r>
              <w:rPr>
                <w:i/>
                <w:sz w:val="20"/>
                <w:szCs w:val="20"/>
              </w:rPr>
              <w:t xml:space="preserve">  In order to ensure that all students gain skills that lead to workforce participation, the college must carefully examine who has access and who completes. A spotlight must be applied to opportunity gaps. </w:t>
            </w:r>
          </w:p>
        </w:tc>
      </w:tr>
      <w:tr w:rsidR="00C41B65" w:rsidRPr="00A461A2" w14:paraId="765AB4C0" w14:textId="77777777" w:rsidTr="00C41B65">
        <w:tc>
          <w:tcPr>
            <w:tcW w:w="3613" w:type="dxa"/>
            <w:shd w:val="clear" w:color="auto" w:fill="auto"/>
          </w:tcPr>
          <w:p w14:paraId="67B30743" w14:textId="77777777" w:rsidR="00C41B65" w:rsidRPr="00A461A2" w:rsidRDefault="00C41B65" w:rsidP="00DB25A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Strategy 2: </w:t>
            </w:r>
            <w:r w:rsidRPr="00D6273A">
              <w:rPr>
                <w:sz w:val="20"/>
                <w:szCs w:val="20"/>
              </w:rPr>
              <w:t>Implement Guided Pathways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2D35367D" w14:textId="71230F80" w:rsidR="00C41B65" w:rsidRPr="00400B77" w:rsidRDefault="00C41B65" w:rsidP="00400B7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Pathways &amp; </w:t>
            </w:r>
            <w:r w:rsidRPr="006D6F2C">
              <w:rPr>
                <w:i/>
                <w:sz w:val="20"/>
                <w:szCs w:val="20"/>
              </w:rPr>
              <w:t>Student Achievement-</w:t>
            </w:r>
            <w:r w:rsidRPr="00400B7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B77">
              <w:rPr>
                <w:i/>
                <w:sz w:val="20"/>
                <w:szCs w:val="20"/>
              </w:rPr>
              <w:t xml:space="preserve">In order to prepare students, national research indicates that a guided pathways approach has the best chance of success. LWTech uses guided pathway principles to promote completion of its degrees </w:t>
            </w:r>
            <w:r>
              <w:rPr>
                <w:i/>
                <w:sz w:val="20"/>
                <w:szCs w:val="20"/>
              </w:rPr>
              <w:t>and certificates:</w:t>
            </w:r>
          </w:p>
          <w:p w14:paraId="6D781B58" w14:textId="77777777" w:rsidR="00C41B65" w:rsidRPr="00400B77" w:rsidRDefault="00C41B65" w:rsidP="00400B77">
            <w:pPr>
              <w:pStyle w:val="ListParagraph"/>
              <w:numPr>
                <w:ilvl w:val="0"/>
                <w:numId w:val="5"/>
              </w:numPr>
              <w:spacing w:after="0"/>
              <w:ind w:left="576" w:hanging="234"/>
              <w:rPr>
                <w:i/>
                <w:sz w:val="20"/>
                <w:szCs w:val="20"/>
              </w:rPr>
            </w:pPr>
            <w:r w:rsidRPr="00400B77">
              <w:rPr>
                <w:i/>
                <w:sz w:val="20"/>
                <w:szCs w:val="20"/>
              </w:rPr>
              <w:t>Clarify paths to student end goals (meta-majors</w:t>
            </w:r>
            <w:r>
              <w:rPr>
                <w:i/>
                <w:sz w:val="20"/>
                <w:szCs w:val="20"/>
              </w:rPr>
              <w:t xml:space="preserve"> - Pathways</w:t>
            </w:r>
            <w:r w:rsidRPr="00400B77">
              <w:rPr>
                <w:i/>
                <w:sz w:val="20"/>
                <w:szCs w:val="20"/>
              </w:rPr>
              <w:t>)</w:t>
            </w:r>
          </w:p>
          <w:p w14:paraId="33BDF92E" w14:textId="77777777" w:rsidR="00C41B65" w:rsidRPr="00400B77" w:rsidRDefault="00C41B65" w:rsidP="00400B77">
            <w:pPr>
              <w:pStyle w:val="ListParagraph"/>
              <w:numPr>
                <w:ilvl w:val="0"/>
                <w:numId w:val="5"/>
              </w:numPr>
              <w:spacing w:after="0"/>
              <w:ind w:left="576" w:hanging="234"/>
              <w:rPr>
                <w:i/>
                <w:sz w:val="20"/>
                <w:szCs w:val="20"/>
              </w:rPr>
            </w:pPr>
            <w:r w:rsidRPr="00400B77">
              <w:rPr>
                <w:i/>
                <w:sz w:val="20"/>
                <w:szCs w:val="20"/>
              </w:rPr>
              <w:t>Help students choose and enter a pathway (onboarding</w:t>
            </w:r>
            <w:r>
              <w:rPr>
                <w:i/>
                <w:sz w:val="20"/>
                <w:szCs w:val="20"/>
              </w:rPr>
              <w:t xml:space="preserve"> - Pathways</w:t>
            </w:r>
            <w:r w:rsidRPr="00400B77">
              <w:rPr>
                <w:i/>
                <w:sz w:val="20"/>
                <w:szCs w:val="20"/>
              </w:rPr>
              <w:t>)</w:t>
            </w:r>
          </w:p>
          <w:p w14:paraId="1A0D1714" w14:textId="77777777" w:rsidR="00C41B65" w:rsidRPr="00400B77" w:rsidRDefault="00C41B65" w:rsidP="00400B77">
            <w:pPr>
              <w:pStyle w:val="ListParagraph"/>
              <w:numPr>
                <w:ilvl w:val="0"/>
                <w:numId w:val="5"/>
              </w:numPr>
              <w:spacing w:after="0"/>
              <w:ind w:left="576" w:hanging="234"/>
              <w:rPr>
                <w:i/>
                <w:sz w:val="20"/>
                <w:szCs w:val="20"/>
              </w:rPr>
            </w:pPr>
            <w:r w:rsidRPr="00400B77">
              <w:rPr>
                <w:i/>
                <w:sz w:val="20"/>
                <w:szCs w:val="20"/>
              </w:rPr>
              <w:t>Help students stay on path (advising and monitoring</w:t>
            </w:r>
            <w:r>
              <w:rPr>
                <w:i/>
                <w:sz w:val="20"/>
                <w:szCs w:val="20"/>
              </w:rPr>
              <w:t xml:space="preserve"> – Student Achievement</w:t>
            </w:r>
            <w:r w:rsidRPr="00400B77">
              <w:rPr>
                <w:i/>
                <w:sz w:val="20"/>
                <w:szCs w:val="20"/>
              </w:rPr>
              <w:t>)</w:t>
            </w:r>
          </w:p>
          <w:p w14:paraId="22501C4F" w14:textId="74EB91DD" w:rsidR="00C41B65" w:rsidRPr="00C41B65" w:rsidRDefault="00C41B65" w:rsidP="00400B77">
            <w:pPr>
              <w:pStyle w:val="ListParagraph"/>
              <w:numPr>
                <w:ilvl w:val="0"/>
                <w:numId w:val="5"/>
              </w:numPr>
              <w:spacing w:after="0"/>
              <w:ind w:left="576" w:hanging="234"/>
              <w:rPr>
                <w:i/>
                <w:sz w:val="20"/>
                <w:szCs w:val="20"/>
              </w:rPr>
            </w:pPr>
            <w:r w:rsidRPr="00400B77">
              <w:rPr>
                <w:i/>
                <w:sz w:val="20"/>
                <w:szCs w:val="20"/>
              </w:rPr>
              <w:t>Ensure that students are learning (learning outcomes</w:t>
            </w:r>
            <w:r>
              <w:rPr>
                <w:i/>
                <w:sz w:val="20"/>
                <w:szCs w:val="20"/>
              </w:rPr>
              <w:t xml:space="preserve"> – Student Achievement</w:t>
            </w:r>
            <w:r w:rsidRPr="00400B77">
              <w:rPr>
                <w:i/>
                <w:sz w:val="20"/>
                <w:szCs w:val="20"/>
              </w:rPr>
              <w:t>)</w:t>
            </w:r>
          </w:p>
        </w:tc>
      </w:tr>
      <w:tr w:rsidR="00C41B65" w:rsidRPr="00A461A2" w14:paraId="5F48EA6E" w14:textId="77777777" w:rsidTr="00C41B65">
        <w:tc>
          <w:tcPr>
            <w:tcW w:w="3613" w:type="dxa"/>
            <w:shd w:val="clear" w:color="auto" w:fill="auto"/>
          </w:tcPr>
          <w:p w14:paraId="10D5107B" w14:textId="77777777" w:rsidR="00C41B65" w:rsidRDefault="00C41B65" w:rsidP="00DB25A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 3:</w:t>
            </w:r>
            <w:r w:rsidRPr="00FD7F17">
              <w:rPr>
                <w:sz w:val="20"/>
                <w:szCs w:val="20"/>
              </w:rPr>
              <w:t xml:space="preserve"> Identify and implement approaches that increase student access, success, and completion with a focus on closing opportunity gaps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74AD6A70" w14:textId="1545264C" w:rsidR="00C41B65" w:rsidRDefault="00C41B65" w:rsidP="00DB25A7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 xml:space="preserve">Pathways- </w:t>
            </w:r>
            <w:r>
              <w:rPr>
                <w:i/>
                <w:sz w:val="20"/>
                <w:szCs w:val="20"/>
              </w:rPr>
              <w:t xml:space="preserve"> Implementation of these approaches ensure that LWTech is accessible to the full community</w:t>
            </w:r>
          </w:p>
          <w:p w14:paraId="3BD95335" w14:textId="77777777" w:rsidR="00C41B65" w:rsidRDefault="00C41B65" w:rsidP="00DB25A7">
            <w:pPr>
              <w:spacing w:after="0"/>
              <w:rPr>
                <w:i/>
                <w:sz w:val="20"/>
                <w:szCs w:val="20"/>
              </w:rPr>
            </w:pPr>
          </w:p>
          <w:p w14:paraId="5BA4E097" w14:textId="00684E64" w:rsidR="00C41B65" w:rsidRPr="00A461A2" w:rsidRDefault="00C41B65" w:rsidP="00DB25A7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>Student Achievement-</w:t>
            </w:r>
            <w:r>
              <w:rPr>
                <w:i/>
                <w:sz w:val="20"/>
                <w:szCs w:val="20"/>
              </w:rPr>
              <w:t xml:space="preserve">  Implementation of these approaches ensure that all students make progress towards their educational goals and employment; unfettered by institutional barriers</w:t>
            </w:r>
          </w:p>
        </w:tc>
      </w:tr>
      <w:tr w:rsidR="00C41B65" w:rsidRPr="00A461A2" w14:paraId="4F480638" w14:textId="77777777" w:rsidTr="00C41B65">
        <w:tc>
          <w:tcPr>
            <w:tcW w:w="3613" w:type="dxa"/>
            <w:shd w:val="clear" w:color="auto" w:fill="auto"/>
          </w:tcPr>
          <w:p w14:paraId="0B56552E" w14:textId="77777777" w:rsidR="00C41B65" w:rsidRDefault="00C41B65" w:rsidP="00FD7F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 4</w:t>
            </w:r>
            <w:r w:rsidRPr="00FD7F17">
              <w:rPr>
                <w:b/>
                <w:sz w:val="20"/>
                <w:szCs w:val="20"/>
              </w:rPr>
              <w:t xml:space="preserve">: </w:t>
            </w:r>
            <w:r w:rsidRPr="00FD7F17">
              <w:rPr>
                <w:sz w:val="20"/>
                <w:szCs w:val="20"/>
              </w:rPr>
              <w:t>Ensure engagement with students and employers at all points along the student’s educational pathway, including completion and employment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09FD2383" w14:textId="106C6F6C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FD7F17">
              <w:rPr>
                <w:i/>
                <w:sz w:val="20"/>
                <w:szCs w:val="20"/>
              </w:rPr>
              <w:t>External Engagement-</w:t>
            </w:r>
            <w:r>
              <w:rPr>
                <w:i/>
                <w:sz w:val="20"/>
                <w:szCs w:val="20"/>
              </w:rPr>
              <w:t xml:space="preserve">  Connections with employers support both the access and completion of all students. </w:t>
            </w:r>
          </w:p>
        </w:tc>
      </w:tr>
    </w:tbl>
    <w:p w14:paraId="192383F0" w14:textId="0415667E" w:rsidR="0064109C" w:rsidRDefault="0064109C"/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3613"/>
        <w:gridCol w:w="2224"/>
        <w:gridCol w:w="8666"/>
      </w:tblGrid>
      <w:tr w:rsidR="00DF3A14" w:rsidRPr="00A461A2" w14:paraId="2151510C" w14:textId="77777777" w:rsidTr="00C41B65">
        <w:tc>
          <w:tcPr>
            <w:tcW w:w="36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2894FC1" w14:textId="77777777" w:rsidR="00DF3A14" w:rsidRPr="00A461A2" w:rsidRDefault="00DF3A14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Goal/Strategy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8C5501D" w14:textId="77777777" w:rsidR="00DF3A14" w:rsidRPr="00A461A2" w:rsidRDefault="00DF3A14" w:rsidP="00D5297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Theme Alignment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49F60CB" w14:textId="77777777" w:rsidR="00DF3A14" w:rsidRPr="00A461A2" w:rsidRDefault="00DF3A14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 Fulfillment</w:t>
            </w:r>
          </w:p>
        </w:tc>
      </w:tr>
      <w:tr w:rsidR="00DF3A14" w:rsidRPr="00A461A2" w14:paraId="7D5A55F9" w14:textId="77777777" w:rsidTr="00C41B65">
        <w:tc>
          <w:tcPr>
            <w:tcW w:w="361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79EF23B" w14:textId="77777777" w:rsidR="00DF3A14" w:rsidRPr="003111E0" w:rsidRDefault="00DF3A14" w:rsidP="00D529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2</w:t>
            </w:r>
            <w:r w:rsidRPr="003111E0">
              <w:rPr>
                <w:rFonts w:cstheme="minorHAnsi"/>
                <w:b/>
              </w:rPr>
              <w:t xml:space="preserve">: </w:t>
            </w:r>
            <w:r w:rsidRPr="00DF3A14">
              <w:rPr>
                <w:rFonts w:cstheme="minorHAnsi"/>
              </w:rPr>
              <w:t>Attract and retain diverse employees that view LWTech as an employer of choice.</w:t>
            </w:r>
          </w:p>
          <w:p w14:paraId="37BF961A" w14:textId="77777777" w:rsidR="00DF3A14" w:rsidRPr="003111E0" w:rsidRDefault="00DF3A14" w:rsidP="00D5297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450F658" w14:textId="77777777" w:rsidR="00C41B65" w:rsidRDefault="00C41B65" w:rsidP="00CA25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Community</w:t>
            </w:r>
          </w:p>
          <w:p w14:paraId="4BEE4706" w14:textId="574B1DA9" w:rsidR="00DF3A14" w:rsidRPr="00A461A2" w:rsidRDefault="00DF3A14" w:rsidP="00CA2561">
            <w:pPr>
              <w:spacing w:after="0"/>
              <w:rPr>
                <w:b/>
                <w:sz w:val="20"/>
                <w:szCs w:val="20"/>
              </w:rPr>
            </w:pPr>
            <w:r w:rsidRPr="00D6273A">
              <w:rPr>
                <w:b/>
                <w:sz w:val="20"/>
                <w:szCs w:val="20"/>
              </w:rPr>
              <w:t>External Engagement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F279A62" w14:textId="31ACC844" w:rsidR="00DF3A14" w:rsidRPr="00A461A2" w:rsidRDefault="00CA2561" w:rsidP="00D52979">
            <w:pPr>
              <w:spacing w:after="0"/>
              <w:rPr>
                <w:i/>
                <w:sz w:val="20"/>
                <w:szCs w:val="20"/>
              </w:rPr>
            </w:pPr>
            <w:r w:rsidRPr="00D62B2E">
              <w:rPr>
                <w:i/>
                <w:sz w:val="20"/>
                <w:szCs w:val="20"/>
              </w:rPr>
              <w:t>The college’s mission, “to prepare students for today’s careers and tomorrow’s opportunities,”</w:t>
            </w:r>
            <w:r>
              <w:rPr>
                <w:i/>
                <w:sz w:val="20"/>
                <w:szCs w:val="20"/>
              </w:rPr>
              <w:t xml:space="preserve"> can only be fulfilled with qualified employees who bring diverse experiences and perspectives to provide </w:t>
            </w:r>
            <w:r w:rsidR="002A5EBE">
              <w:rPr>
                <w:i/>
                <w:sz w:val="20"/>
                <w:szCs w:val="20"/>
              </w:rPr>
              <w:t>broad and deep</w:t>
            </w:r>
            <w:r>
              <w:rPr>
                <w:i/>
                <w:sz w:val="20"/>
                <w:szCs w:val="20"/>
              </w:rPr>
              <w:t xml:space="preserve"> knowledge</w:t>
            </w:r>
            <w:r w:rsidR="0045577C">
              <w:rPr>
                <w:i/>
                <w:sz w:val="20"/>
                <w:szCs w:val="20"/>
              </w:rPr>
              <w:t xml:space="preserve"> to student success.</w:t>
            </w:r>
            <w:r w:rsidR="002A5EBE">
              <w:rPr>
                <w:i/>
                <w:sz w:val="20"/>
                <w:szCs w:val="20"/>
              </w:rPr>
              <w:t xml:space="preserve"> This requires on-going professional development opportunities that are enhanced through public and private partnerships.</w:t>
            </w:r>
          </w:p>
        </w:tc>
      </w:tr>
      <w:tr w:rsidR="00C41B65" w:rsidRPr="00A461A2" w14:paraId="45D334CE" w14:textId="77777777" w:rsidTr="00C41B65">
        <w:tc>
          <w:tcPr>
            <w:tcW w:w="3613" w:type="dxa"/>
            <w:shd w:val="clear" w:color="auto" w:fill="auto"/>
          </w:tcPr>
          <w:p w14:paraId="7BCA1469" w14:textId="19D6DF09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  <w:r w:rsidRPr="00A461A2">
              <w:rPr>
                <w:b/>
                <w:sz w:val="20"/>
                <w:szCs w:val="20"/>
              </w:rPr>
              <w:t xml:space="preserve"> 1: </w:t>
            </w:r>
            <w:r w:rsidRPr="00DF3A14">
              <w:rPr>
                <w:sz w:val="20"/>
                <w:szCs w:val="20"/>
              </w:rPr>
              <w:t>Identify and integrate institutional qualities and activities that create an inclusive environment and help employees feel valued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5195ACA6" w14:textId="21159629" w:rsidR="00C41B65" w:rsidRDefault="00C41B65" w:rsidP="00DF3A14">
            <w:pPr>
              <w:spacing w:after="0"/>
              <w:rPr>
                <w:i/>
                <w:sz w:val="20"/>
                <w:szCs w:val="20"/>
              </w:rPr>
            </w:pPr>
            <w:r w:rsidRPr="00DF3A14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  <w:sz w:val="20"/>
                <w:szCs w:val="20"/>
              </w:rPr>
              <w:t xml:space="preserve"> Through the creation of an inclusive environment, members of the campus community will feel safe and supported, and be able to engage in learning.</w:t>
            </w:r>
          </w:p>
          <w:p w14:paraId="235D1AA0" w14:textId="77777777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C41B65" w:rsidRPr="00A461A2" w14:paraId="2ABD4519" w14:textId="77777777" w:rsidTr="00C41B65">
        <w:tc>
          <w:tcPr>
            <w:tcW w:w="3613" w:type="dxa"/>
            <w:shd w:val="clear" w:color="auto" w:fill="auto"/>
          </w:tcPr>
          <w:p w14:paraId="529DA404" w14:textId="77777777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Strategy 2: </w:t>
            </w:r>
            <w:r w:rsidRPr="00DF3A14">
              <w:rPr>
                <w:sz w:val="20"/>
                <w:szCs w:val="20"/>
              </w:rPr>
              <w:t>Establish comprehensive professional development opportunities for all employees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360B1022" w14:textId="52299912" w:rsidR="00C41B65" w:rsidRPr="00C41B65" w:rsidRDefault="00C41B65" w:rsidP="00DF3A14">
            <w:pPr>
              <w:spacing w:after="0"/>
              <w:rPr>
                <w:i/>
              </w:rPr>
            </w:pPr>
            <w:r w:rsidRPr="00DF3A14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Professional development opportunities that meet a wide variety of needs will help create an engaging learning environment for all employees.</w:t>
            </w:r>
          </w:p>
          <w:p w14:paraId="6176C509" w14:textId="77777777" w:rsidR="00C41B65" w:rsidRPr="00DF3A14" w:rsidRDefault="00C41B65" w:rsidP="00DF3A14">
            <w:pPr>
              <w:spacing w:after="0"/>
              <w:rPr>
                <w:i/>
                <w:sz w:val="20"/>
                <w:szCs w:val="20"/>
              </w:rPr>
            </w:pPr>
          </w:p>
          <w:p w14:paraId="177626DA" w14:textId="684ABBC4" w:rsidR="00C41B65" w:rsidRPr="00C41B65" w:rsidRDefault="00C41B65" w:rsidP="00C41B6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F3A14">
              <w:rPr>
                <w:i/>
                <w:sz w:val="20"/>
                <w:szCs w:val="20"/>
              </w:rPr>
              <w:t>External Engagement-</w:t>
            </w:r>
            <w:r>
              <w:rPr>
                <w:i/>
                <w:sz w:val="20"/>
                <w:szCs w:val="20"/>
              </w:rPr>
              <w:t xml:space="preserve"> A comprehensive, diverse professional development plan will require public and private partnerships to maximize finite institutional resources.</w:t>
            </w:r>
          </w:p>
        </w:tc>
      </w:tr>
      <w:tr w:rsidR="00C41B65" w:rsidRPr="00A461A2" w14:paraId="166DD3BE" w14:textId="77777777" w:rsidTr="00C41B65"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3A10A9FF" w14:textId="77777777" w:rsidR="00C41B65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 3:</w:t>
            </w:r>
            <w:r w:rsidRPr="00FD7F17">
              <w:rPr>
                <w:sz w:val="20"/>
                <w:szCs w:val="20"/>
              </w:rPr>
              <w:t xml:space="preserve"> </w:t>
            </w:r>
            <w:r w:rsidRPr="00DF3A14">
              <w:rPr>
                <w:sz w:val="20"/>
                <w:szCs w:val="20"/>
              </w:rPr>
              <w:t>Engage employees in a shared sense of purpose and community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1E113D6A" w14:textId="4C5A2EE8" w:rsidR="00C41B65" w:rsidRPr="00C41B65" w:rsidRDefault="00C41B65" w:rsidP="00D52979">
            <w:pPr>
              <w:spacing w:after="0"/>
              <w:rPr>
                <w:i/>
              </w:rPr>
            </w:pPr>
            <w:r w:rsidRPr="00DF3A14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Members of the college will feel safe and supported by being in an environment with a shared sense of purpose and community.</w:t>
            </w:r>
          </w:p>
        </w:tc>
      </w:tr>
      <w:tr w:rsidR="00C41B65" w:rsidRPr="00A461A2" w14:paraId="5B253962" w14:textId="77777777" w:rsidTr="00C41B65"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0E60D766" w14:textId="77777777" w:rsidR="00C41B65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 4</w:t>
            </w:r>
            <w:r w:rsidRPr="00FD7F17">
              <w:rPr>
                <w:b/>
                <w:sz w:val="20"/>
                <w:szCs w:val="20"/>
              </w:rPr>
              <w:t xml:space="preserve">: </w:t>
            </w:r>
            <w:r w:rsidRPr="00DF3A14">
              <w:rPr>
                <w:sz w:val="20"/>
                <w:szCs w:val="20"/>
              </w:rPr>
              <w:t>Identify and implement approaches to attract diverse, culturally competent employees to the college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414DA7A5" w14:textId="1D57C8AE" w:rsidR="00C41B65" w:rsidRPr="00C41B65" w:rsidRDefault="00C41B65" w:rsidP="00D52979">
            <w:pPr>
              <w:spacing w:after="0"/>
              <w:rPr>
                <w:i/>
              </w:rPr>
            </w:pPr>
            <w:r w:rsidRPr="00DF3A14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The more diverse and culturally competent people employed by the college, the more all will feel safe and supported.</w:t>
            </w:r>
          </w:p>
        </w:tc>
      </w:tr>
    </w:tbl>
    <w:p w14:paraId="20D6B7C8" w14:textId="77777777" w:rsidR="00DF3A14" w:rsidRDefault="00DF3A14"/>
    <w:p w14:paraId="0E7EB5F0" w14:textId="77777777" w:rsidR="00BE574B" w:rsidRDefault="00BE574B"/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3685"/>
        <w:gridCol w:w="2152"/>
        <w:gridCol w:w="8666"/>
      </w:tblGrid>
      <w:tr w:rsidR="00DF3A14" w:rsidRPr="00A461A2" w14:paraId="358A9EA8" w14:textId="77777777" w:rsidTr="00BE574B">
        <w:tc>
          <w:tcPr>
            <w:tcW w:w="368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85526E8" w14:textId="77777777" w:rsidR="00DF3A14" w:rsidRPr="00A461A2" w:rsidRDefault="00DF3A14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Goal/Strategy</w:t>
            </w:r>
          </w:p>
        </w:tc>
        <w:tc>
          <w:tcPr>
            <w:tcW w:w="215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5C2756A" w14:textId="77777777" w:rsidR="00DF3A14" w:rsidRPr="00A461A2" w:rsidRDefault="00DF3A14" w:rsidP="00D5297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Theme Alignment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01F22E6" w14:textId="77777777" w:rsidR="00DF3A14" w:rsidRPr="00A461A2" w:rsidRDefault="00DF3A14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 Fulfillment</w:t>
            </w:r>
          </w:p>
        </w:tc>
      </w:tr>
      <w:tr w:rsidR="00DF3A14" w:rsidRPr="00A461A2" w14:paraId="54585F6A" w14:textId="77777777" w:rsidTr="00BE574B">
        <w:tc>
          <w:tcPr>
            <w:tcW w:w="36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1F5695A" w14:textId="77777777" w:rsidR="00DF3A14" w:rsidRPr="003111E0" w:rsidRDefault="00DF3A14" w:rsidP="00D529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3</w:t>
            </w:r>
            <w:r w:rsidRPr="003111E0">
              <w:rPr>
                <w:rFonts w:cstheme="minorHAnsi"/>
                <w:b/>
              </w:rPr>
              <w:t xml:space="preserve">: </w:t>
            </w:r>
            <w:r w:rsidRPr="00DF3A14">
              <w:rPr>
                <w:rFonts w:cstheme="minorHAnsi"/>
              </w:rPr>
              <w:t>Align our college culture and brand identity</w:t>
            </w:r>
          </w:p>
          <w:p w14:paraId="5ED75EC3" w14:textId="77777777" w:rsidR="00DF3A14" w:rsidRPr="003111E0" w:rsidRDefault="00DF3A14" w:rsidP="00D5297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CB7FA79" w14:textId="77777777" w:rsidR="00C41B65" w:rsidRDefault="00C41B65" w:rsidP="00C41B6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Achievement</w:t>
            </w:r>
          </w:p>
          <w:p w14:paraId="6C383917" w14:textId="77777777" w:rsidR="00C41B65" w:rsidRDefault="00C41B65" w:rsidP="00C41B6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Community</w:t>
            </w:r>
          </w:p>
          <w:p w14:paraId="075B3A1B" w14:textId="469F66D1" w:rsidR="00DF3A14" w:rsidRPr="00A461A2" w:rsidRDefault="00DF3A14" w:rsidP="00C41B65">
            <w:pPr>
              <w:spacing w:after="0"/>
              <w:rPr>
                <w:b/>
                <w:sz w:val="20"/>
                <w:szCs w:val="20"/>
              </w:rPr>
            </w:pPr>
            <w:r w:rsidRPr="00D6273A">
              <w:rPr>
                <w:b/>
                <w:sz w:val="20"/>
                <w:szCs w:val="20"/>
              </w:rPr>
              <w:t>External Engagement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1D0DA6D" w14:textId="77777777" w:rsidR="00DF3A14" w:rsidRPr="00A461A2" w:rsidRDefault="0076490D" w:rsidP="0076490D">
            <w:pPr>
              <w:spacing w:after="0"/>
              <w:rPr>
                <w:i/>
                <w:sz w:val="20"/>
                <w:szCs w:val="20"/>
              </w:rPr>
            </w:pPr>
            <w:r w:rsidRPr="00D62B2E">
              <w:rPr>
                <w:i/>
                <w:sz w:val="20"/>
                <w:szCs w:val="20"/>
              </w:rPr>
              <w:t>The college’s mission, “to prepare students for today’s careers an</w:t>
            </w:r>
            <w:r>
              <w:rPr>
                <w:i/>
                <w:sz w:val="20"/>
                <w:szCs w:val="20"/>
              </w:rPr>
              <w:t>d tomorrow’s opportunities,” can only be achieved if the college community works together seamlessly in support of its fulfillment. Broad, common understanding not only of the mission but the undercurrent</w:t>
            </w:r>
            <w:r w:rsidR="00263EF3">
              <w:rPr>
                <w:i/>
                <w:sz w:val="20"/>
                <w:szCs w:val="20"/>
              </w:rPr>
              <w:t xml:space="preserve"> of college culture and identity allow for the institution to be laser focused on the activities that best support moving students through college programs and into employment.</w:t>
            </w:r>
          </w:p>
        </w:tc>
      </w:tr>
      <w:tr w:rsidR="00C41B65" w:rsidRPr="00A461A2" w14:paraId="1B9F4804" w14:textId="77777777" w:rsidTr="00BE574B">
        <w:tc>
          <w:tcPr>
            <w:tcW w:w="3685" w:type="dxa"/>
            <w:shd w:val="clear" w:color="auto" w:fill="auto"/>
          </w:tcPr>
          <w:p w14:paraId="70440FB0" w14:textId="6D3D3653" w:rsidR="00C41B65" w:rsidRPr="00C41B65" w:rsidRDefault="00C41B65" w:rsidP="006D6F2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  <w:r w:rsidRPr="00A461A2">
              <w:rPr>
                <w:b/>
                <w:sz w:val="20"/>
                <w:szCs w:val="20"/>
              </w:rPr>
              <w:t xml:space="preserve"> 1: </w:t>
            </w:r>
            <w:r w:rsidRPr="00DF3A14">
              <w:rPr>
                <w:sz w:val="20"/>
                <w:szCs w:val="20"/>
              </w:rPr>
              <w:t>Collectively, and with cross-campus engagement, define the desired attributes of our culture and identity as a public institute of technology</w:t>
            </w:r>
          </w:p>
        </w:tc>
        <w:tc>
          <w:tcPr>
            <w:tcW w:w="10818" w:type="dxa"/>
            <w:gridSpan w:val="2"/>
            <w:shd w:val="clear" w:color="auto" w:fill="auto"/>
          </w:tcPr>
          <w:p w14:paraId="62135B37" w14:textId="605A11A6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  <w:sz w:val="20"/>
                <w:szCs w:val="20"/>
              </w:rPr>
              <w:t>The college community, employees and students will feel engaged with the institution and supported in being a part of creating this common culture and identity.</w:t>
            </w:r>
          </w:p>
        </w:tc>
      </w:tr>
      <w:tr w:rsidR="00C41B65" w:rsidRPr="00A461A2" w14:paraId="41C1CFD2" w14:textId="77777777" w:rsidTr="00BE574B">
        <w:tc>
          <w:tcPr>
            <w:tcW w:w="3685" w:type="dxa"/>
            <w:shd w:val="clear" w:color="auto" w:fill="auto"/>
          </w:tcPr>
          <w:p w14:paraId="489A7EAB" w14:textId="77777777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Strategy 2: </w:t>
            </w:r>
            <w:r w:rsidRPr="006D6F2C">
              <w:rPr>
                <w:sz w:val="20"/>
                <w:szCs w:val="20"/>
              </w:rPr>
              <w:t>Identify how students, employees and community members feel a sense of belonging and create a system that invites understanding of our culture and identity</w:t>
            </w:r>
          </w:p>
        </w:tc>
        <w:tc>
          <w:tcPr>
            <w:tcW w:w="10818" w:type="dxa"/>
            <w:gridSpan w:val="2"/>
            <w:shd w:val="clear" w:color="auto" w:fill="auto"/>
          </w:tcPr>
          <w:p w14:paraId="29EC9C10" w14:textId="2C8771B3" w:rsidR="00C41B65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>Student Achievement-</w:t>
            </w:r>
            <w:r>
              <w:rPr>
                <w:i/>
                <w:sz w:val="20"/>
                <w:szCs w:val="20"/>
              </w:rPr>
              <w:t xml:space="preserve">  Sense of belonging is an emerging field of study that indicates students need this for the best chance of completing their goals.</w:t>
            </w:r>
          </w:p>
          <w:p w14:paraId="752BDE03" w14:textId="77777777" w:rsidR="00C41B65" w:rsidRDefault="00C41B65" w:rsidP="00C64F3F">
            <w:pPr>
              <w:spacing w:after="0"/>
              <w:rPr>
                <w:i/>
                <w:sz w:val="20"/>
                <w:szCs w:val="20"/>
              </w:rPr>
            </w:pPr>
          </w:p>
          <w:p w14:paraId="2BA706EF" w14:textId="4BEEE27A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  <w:sz w:val="20"/>
                <w:szCs w:val="20"/>
              </w:rPr>
              <w:t xml:space="preserve"> The college community will feel safe and supported with a sense of belonging through a collaborative development and understanding of the college’s culture and identity.</w:t>
            </w:r>
          </w:p>
        </w:tc>
      </w:tr>
      <w:tr w:rsidR="00C41B65" w:rsidRPr="00A461A2" w14:paraId="03E7CF97" w14:textId="77777777" w:rsidTr="00BE574B">
        <w:tc>
          <w:tcPr>
            <w:tcW w:w="3685" w:type="dxa"/>
            <w:shd w:val="clear" w:color="auto" w:fill="auto"/>
          </w:tcPr>
          <w:p w14:paraId="434E92B1" w14:textId="77777777" w:rsidR="00C41B65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Strategy 3:</w:t>
            </w:r>
            <w:r w:rsidRPr="00FD7F17">
              <w:rPr>
                <w:sz w:val="20"/>
                <w:szCs w:val="20"/>
              </w:rPr>
              <w:t xml:space="preserve"> </w:t>
            </w:r>
            <w:r w:rsidRPr="006D6F2C">
              <w:rPr>
                <w:sz w:val="20"/>
                <w:szCs w:val="20"/>
              </w:rPr>
              <w:t>Ensure the college culture and brand identity remains visible to the internal college community and the external community on a continuous basis</w:t>
            </w:r>
          </w:p>
        </w:tc>
        <w:tc>
          <w:tcPr>
            <w:tcW w:w="10818" w:type="dxa"/>
            <w:gridSpan w:val="2"/>
            <w:shd w:val="clear" w:color="auto" w:fill="auto"/>
          </w:tcPr>
          <w:p w14:paraId="0EC42FFD" w14:textId="1FC76D57" w:rsidR="00C41B65" w:rsidRPr="006D6F2C" w:rsidRDefault="00C41B65" w:rsidP="00C64F3F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  <w:sz w:val="20"/>
                <w:szCs w:val="20"/>
              </w:rPr>
              <w:t xml:space="preserve"> Continuous communication about this work is directly tied to feeling supported and safe on campus for all; for existing, new, and prospective students and employees.</w:t>
            </w:r>
          </w:p>
          <w:p w14:paraId="1771B482" w14:textId="77777777" w:rsidR="00C41B65" w:rsidRPr="006D6F2C" w:rsidRDefault="00C41B65" w:rsidP="006D6F2C">
            <w:pPr>
              <w:spacing w:after="0"/>
              <w:rPr>
                <w:i/>
                <w:sz w:val="20"/>
                <w:szCs w:val="20"/>
              </w:rPr>
            </w:pPr>
          </w:p>
          <w:p w14:paraId="060B8B33" w14:textId="538EB95E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>External Engagement-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E57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Communication of this work with external partners ensures those partnerships are a good fit for the college and are best placed to assist with mission fulfillment.</w:t>
            </w:r>
          </w:p>
        </w:tc>
      </w:tr>
    </w:tbl>
    <w:p w14:paraId="6F137FD6" w14:textId="77777777" w:rsidR="00DF3A14" w:rsidRDefault="00DF3A14"/>
    <w:p w14:paraId="5E9151B6" w14:textId="77777777" w:rsidR="00BE574B" w:rsidRDefault="00BE574B"/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3613"/>
        <w:gridCol w:w="2224"/>
        <w:gridCol w:w="8666"/>
      </w:tblGrid>
      <w:tr w:rsidR="006D6F2C" w:rsidRPr="00A461A2" w14:paraId="7D91B0F8" w14:textId="77777777" w:rsidTr="00C41B65">
        <w:tc>
          <w:tcPr>
            <w:tcW w:w="361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A1C267B" w14:textId="77777777" w:rsidR="006D6F2C" w:rsidRPr="00A461A2" w:rsidRDefault="006D6F2C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Goal/Strategy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4FD32B3" w14:textId="77777777" w:rsidR="006D6F2C" w:rsidRPr="00A461A2" w:rsidRDefault="006D6F2C" w:rsidP="00D5297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Theme Alignment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08EB3BB" w14:textId="77777777" w:rsidR="006D6F2C" w:rsidRPr="00A461A2" w:rsidRDefault="006D6F2C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 Fulfillment</w:t>
            </w:r>
          </w:p>
        </w:tc>
      </w:tr>
      <w:tr w:rsidR="006D6F2C" w:rsidRPr="00A461A2" w14:paraId="6C490BE4" w14:textId="77777777" w:rsidTr="00BE574B">
        <w:trPr>
          <w:trHeight w:val="1065"/>
        </w:trPr>
        <w:tc>
          <w:tcPr>
            <w:tcW w:w="361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6FFFA60" w14:textId="2E1661C6" w:rsidR="006D6F2C" w:rsidRPr="00BE574B" w:rsidRDefault="006D6F2C" w:rsidP="00D5297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4</w:t>
            </w:r>
            <w:r w:rsidRPr="003111E0">
              <w:rPr>
                <w:rFonts w:cstheme="minorHAnsi"/>
                <w:b/>
              </w:rPr>
              <w:t xml:space="preserve">: </w:t>
            </w:r>
            <w:r w:rsidRPr="006D6F2C">
              <w:rPr>
                <w:rFonts w:cstheme="minorHAnsi"/>
              </w:rPr>
              <w:t>Create a sustainable fiscal structure to ensure the college fulfills its mission and vision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D77B82C" w14:textId="77777777" w:rsidR="00C41B65" w:rsidRDefault="00C41B65" w:rsidP="002A5EB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Pathways</w:t>
            </w:r>
          </w:p>
          <w:p w14:paraId="3B499761" w14:textId="77777777" w:rsidR="00C41B65" w:rsidRDefault="00C41B65" w:rsidP="002A5EB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Achievement</w:t>
            </w:r>
          </w:p>
          <w:p w14:paraId="670A01C0" w14:textId="77777777" w:rsidR="00C41B65" w:rsidRDefault="00C41B65" w:rsidP="002A5EB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Community</w:t>
            </w:r>
          </w:p>
          <w:p w14:paraId="70001181" w14:textId="3345528F" w:rsidR="006D6F2C" w:rsidRPr="00A461A2" w:rsidRDefault="006D6F2C" w:rsidP="002A5EBE">
            <w:pPr>
              <w:spacing w:after="0"/>
              <w:rPr>
                <w:b/>
                <w:sz w:val="20"/>
                <w:szCs w:val="20"/>
              </w:rPr>
            </w:pPr>
            <w:r w:rsidRPr="00D6273A">
              <w:rPr>
                <w:b/>
                <w:sz w:val="20"/>
                <w:szCs w:val="20"/>
              </w:rPr>
              <w:t>External Engagement</w:t>
            </w:r>
          </w:p>
        </w:tc>
        <w:tc>
          <w:tcPr>
            <w:tcW w:w="866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DAC7674" w14:textId="3BBCC0FB" w:rsidR="002A5EBE" w:rsidRPr="00A461A2" w:rsidRDefault="002A5EBE" w:rsidP="00D5297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achieve t</w:t>
            </w:r>
            <w:r w:rsidRPr="00D62B2E">
              <w:rPr>
                <w:i/>
                <w:sz w:val="20"/>
                <w:szCs w:val="20"/>
              </w:rPr>
              <w:t>he mission, “to prepare students for today’s careers an</w:t>
            </w:r>
            <w:r>
              <w:rPr>
                <w:i/>
                <w:sz w:val="20"/>
                <w:szCs w:val="20"/>
              </w:rPr>
              <w:t>d tomorrow’s opportunities,” the college must have financial resources, and deploy those resources using strategy and evidence to maximize the benefits for student success.</w:t>
            </w:r>
          </w:p>
        </w:tc>
      </w:tr>
      <w:tr w:rsidR="00C41B65" w:rsidRPr="00A461A2" w14:paraId="3523A199" w14:textId="77777777" w:rsidTr="00C41B65">
        <w:tc>
          <w:tcPr>
            <w:tcW w:w="3613" w:type="dxa"/>
            <w:shd w:val="clear" w:color="auto" w:fill="auto"/>
          </w:tcPr>
          <w:p w14:paraId="495A1C2B" w14:textId="05F21612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  <w:r w:rsidRPr="00A461A2">
              <w:rPr>
                <w:b/>
                <w:sz w:val="20"/>
                <w:szCs w:val="20"/>
              </w:rPr>
              <w:t xml:space="preserve"> 1: </w:t>
            </w:r>
            <w:r w:rsidRPr="006D6F2C">
              <w:rPr>
                <w:sz w:val="20"/>
                <w:szCs w:val="20"/>
              </w:rPr>
              <w:t>Grow enrollment and maintain it at or above allocation targets</w:t>
            </w:r>
          </w:p>
          <w:p w14:paraId="20F77EA8" w14:textId="77777777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890" w:type="dxa"/>
            <w:gridSpan w:val="2"/>
            <w:shd w:val="clear" w:color="auto" w:fill="auto"/>
          </w:tcPr>
          <w:p w14:paraId="0BA68A4F" w14:textId="4CDA0DF9" w:rsidR="00C41B65" w:rsidRPr="00D2448F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 xml:space="preserve">Pathways-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By creating pathways accessible at multiple entrance points, more students will have greater opportunities to enter the college, allowing the college to grow its enrollment.</w:t>
            </w:r>
          </w:p>
          <w:p w14:paraId="0F14C067" w14:textId="77777777" w:rsidR="00C41B65" w:rsidRPr="00BE574B" w:rsidRDefault="00C41B65" w:rsidP="006D6F2C">
            <w:pPr>
              <w:spacing w:after="0"/>
              <w:rPr>
                <w:i/>
                <w:sz w:val="16"/>
                <w:szCs w:val="20"/>
              </w:rPr>
            </w:pPr>
          </w:p>
          <w:p w14:paraId="0E1F6B10" w14:textId="2D21B029" w:rsidR="00C41B65" w:rsidRPr="00D2448F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>Student Achievement-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E574B"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Supporting students through degree completion is a more sustainable, and ethical approach to growing enrollment than continually enrolling new students to meet enrollment targets.</w:t>
            </w:r>
          </w:p>
          <w:p w14:paraId="665AF8D0" w14:textId="77777777" w:rsidR="00C41B65" w:rsidRPr="00BE574B" w:rsidRDefault="00C41B65" w:rsidP="006D6F2C">
            <w:pPr>
              <w:spacing w:after="0"/>
              <w:rPr>
                <w:i/>
                <w:sz w:val="16"/>
                <w:szCs w:val="20"/>
              </w:rPr>
            </w:pPr>
          </w:p>
          <w:p w14:paraId="11B30637" w14:textId="006FDD81" w:rsidR="00C41B65" w:rsidRPr="00D2448F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>College Community-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E574B"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By creating a safe, supportive and engaging learning environment, students will be more likely to persist, which will help create a sustainable enrollment model.</w:t>
            </w:r>
          </w:p>
          <w:p w14:paraId="1C021678" w14:textId="77777777" w:rsidR="00C41B65" w:rsidRPr="00BE574B" w:rsidRDefault="00C41B65" w:rsidP="006D6F2C">
            <w:pPr>
              <w:spacing w:after="0"/>
              <w:rPr>
                <w:i/>
                <w:sz w:val="16"/>
                <w:szCs w:val="20"/>
              </w:rPr>
            </w:pPr>
          </w:p>
          <w:p w14:paraId="6CBD4C43" w14:textId="1ADA0808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 xml:space="preserve">External Engagement-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Public and private partnerships will support the development of new program that support emerging economic trends and attract new students.</w:t>
            </w:r>
          </w:p>
        </w:tc>
      </w:tr>
      <w:tr w:rsidR="00C41B65" w:rsidRPr="00A461A2" w14:paraId="6318373D" w14:textId="77777777" w:rsidTr="00C41B65">
        <w:tc>
          <w:tcPr>
            <w:tcW w:w="3613" w:type="dxa"/>
            <w:shd w:val="clear" w:color="auto" w:fill="auto"/>
          </w:tcPr>
          <w:p w14:paraId="32FB3CC8" w14:textId="77777777" w:rsidR="00C41B65" w:rsidRPr="00A461A2" w:rsidRDefault="00C41B65" w:rsidP="00D529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Strategy 2: </w:t>
            </w:r>
            <w:r w:rsidRPr="006D6F2C">
              <w:rPr>
                <w:sz w:val="20"/>
                <w:szCs w:val="20"/>
              </w:rPr>
              <w:t>Explore and secure diverse, alternative sources of revenue to support operational and capital costs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19295E6D" w14:textId="270CA77E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6D6F2C">
              <w:rPr>
                <w:i/>
                <w:sz w:val="20"/>
                <w:szCs w:val="20"/>
              </w:rPr>
              <w:t>External Engagement-</w:t>
            </w:r>
            <w:r>
              <w:rPr>
                <w:i/>
                <w:sz w:val="20"/>
                <w:szCs w:val="20"/>
              </w:rPr>
              <w:t xml:space="preserve"> Public and private partnerships are key sources of alternative revenue to help create a sustainable fiscal environment.</w:t>
            </w:r>
          </w:p>
        </w:tc>
      </w:tr>
      <w:tr w:rsidR="00C41B65" w:rsidRPr="00A461A2" w14:paraId="7EEBD7C9" w14:textId="77777777" w:rsidTr="00C41B65">
        <w:tc>
          <w:tcPr>
            <w:tcW w:w="3613" w:type="dxa"/>
            <w:shd w:val="clear" w:color="auto" w:fill="auto"/>
          </w:tcPr>
          <w:p w14:paraId="330C0F7B" w14:textId="77777777" w:rsidR="00C41B65" w:rsidRDefault="00C41B65" w:rsidP="006D6F2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 3:</w:t>
            </w:r>
            <w:r w:rsidRPr="00FD7F17">
              <w:rPr>
                <w:sz w:val="20"/>
                <w:szCs w:val="20"/>
              </w:rPr>
              <w:t xml:space="preserve"> </w:t>
            </w:r>
            <w:r w:rsidRPr="006D6F2C">
              <w:rPr>
                <w:sz w:val="20"/>
                <w:szCs w:val="20"/>
              </w:rPr>
              <w:t>Use data to inform investments and program decisions</w:t>
            </w:r>
          </w:p>
        </w:tc>
        <w:tc>
          <w:tcPr>
            <w:tcW w:w="10890" w:type="dxa"/>
            <w:gridSpan w:val="2"/>
            <w:shd w:val="clear" w:color="auto" w:fill="auto"/>
          </w:tcPr>
          <w:p w14:paraId="78688E5E" w14:textId="41548CFD" w:rsidR="00C41B65" w:rsidRPr="00D2448F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 xml:space="preserve">Pathways-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Data will be used to assess student’ ability to enter and persist through various pathways, and adjustments made to continue to increase access and persistence.</w:t>
            </w:r>
          </w:p>
          <w:p w14:paraId="5E2AA0CF" w14:textId="77777777" w:rsidR="00C41B65" w:rsidRPr="00BE574B" w:rsidRDefault="00C41B65" w:rsidP="006D6F2C">
            <w:pPr>
              <w:spacing w:after="0"/>
              <w:rPr>
                <w:i/>
                <w:sz w:val="16"/>
                <w:szCs w:val="20"/>
              </w:rPr>
            </w:pPr>
          </w:p>
          <w:p w14:paraId="49617E3F" w14:textId="2F0E28A6" w:rsidR="00C41B65" w:rsidRPr="00D2448F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 xml:space="preserve">Student Achievement-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Data will be used to assess students’ achievement of their goals and ability to participate in the workforce, and adjustments made to continue to improve student achievement.</w:t>
            </w:r>
          </w:p>
          <w:p w14:paraId="3C351406" w14:textId="77777777" w:rsidR="00C41B65" w:rsidRPr="00BE574B" w:rsidRDefault="00C41B65" w:rsidP="006D6F2C">
            <w:pPr>
              <w:spacing w:after="0"/>
              <w:rPr>
                <w:i/>
                <w:sz w:val="16"/>
                <w:szCs w:val="20"/>
              </w:rPr>
            </w:pPr>
          </w:p>
          <w:p w14:paraId="59B8341A" w14:textId="4DE8E40C" w:rsidR="00C41B65" w:rsidRPr="00D2448F" w:rsidRDefault="00C41B65" w:rsidP="006D6F2C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 xml:space="preserve">College Community-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>By providing professional development learning opportunities, employees can learn how to effectively use data to make informed decisions</w:t>
            </w:r>
            <w:r>
              <w:rPr>
                <w:i/>
                <w:sz w:val="20"/>
                <w:szCs w:val="20"/>
              </w:rPr>
              <w:t xml:space="preserve"> and feel supported in taking the time to engage with data</w:t>
            </w:r>
            <w:r w:rsidRPr="00D2448F">
              <w:rPr>
                <w:i/>
                <w:sz w:val="20"/>
                <w:szCs w:val="20"/>
              </w:rPr>
              <w:t>.</w:t>
            </w:r>
          </w:p>
          <w:p w14:paraId="0AB3A829" w14:textId="77777777" w:rsidR="00C41B65" w:rsidRPr="00BE574B" w:rsidRDefault="00C41B65" w:rsidP="00236B62">
            <w:pPr>
              <w:spacing w:after="0"/>
              <w:rPr>
                <w:i/>
                <w:sz w:val="16"/>
                <w:szCs w:val="20"/>
              </w:rPr>
            </w:pPr>
          </w:p>
          <w:p w14:paraId="6E6A4BD3" w14:textId="52AD1A0C" w:rsidR="00C41B65" w:rsidRPr="00A461A2" w:rsidRDefault="00C41B65" w:rsidP="00D52979">
            <w:pPr>
              <w:spacing w:after="0"/>
              <w:rPr>
                <w:i/>
                <w:sz w:val="20"/>
                <w:szCs w:val="20"/>
              </w:rPr>
            </w:pPr>
            <w:r w:rsidRPr="00D2448F">
              <w:rPr>
                <w:i/>
                <w:sz w:val="20"/>
                <w:szCs w:val="20"/>
              </w:rPr>
              <w:t xml:space="preserve">External Engagement-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448F">
              <w:rPr>
                <w:i/>
                <w:sz w:val="20"/>
                <w:szCs w:val="20"/>
              </w:rPr>
              <w:t xml:space="preserve">As the college secures resources through grants, it will increase its use of data to inform the efficacy of </w:t>
            </w:r>
            <w:r>
              <w:rPr>
                <w:i/>
                <w:sz w:val="20"/>
                <w:szCs w:val="20"/>
              </w:rPr>
              <w:t xml:space="preserve">grant </w:t>
            </w:r>
            <w:r w:rsidRPr="00D2448F">
              <w:rPr>
                <w:i/>
                <w:sz w:val="20"/>
                <w:szCs w:val="20"/>
              </w:rPr>
              <w:t>activities to achieve greater understanding of successful student success strategies.</w:t>
            </w:r>
            <w:r>
              <w:rPr>
                <w:i/>
                <w:sz w:val="20"/>
                <w:szCs w:val="20"/>
              </w:rPr>
              <w:t xml:space="preserve"> Additionally, partnerships such as advisory committees will be strengthened by sharing both the data and successful strategies selected due to that data.</w:t>
            </w:r>
          </w:p>
        </w:tc>
      </w:tr>
    </w:tbl>
    <w:p w14:paraId="24F524C2" w14:textId="3ACBD135" w:rsidR="00C15342" w:rsidRDefault="00C15342" w:rsidP="00BE574B"/>
    <w:sectPr w:rsidR="00C15342" w:rsidSect="00BE574B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4A896" w16cid:durableId="1D5F83AA"/>
  <w16cid:commentId w16cid:paraId="0FCB92F6" w16cid:durableId="1D5F879E"/>
  <w16cid:commentId w16cid:paraId="04B469F5" w16cid:durableId="1D5FA1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B1AE" w14:textId="77777777" w:rsidR="00BE574B" w:rsidRDefault="00BE574B" w:rsidP="00BE574B">
      <w:pPr>
        <w:spacing w:after="0" w:line="240" w:lineRule="auto"/>
      </w:pPr>
      <w:r>
        <w:separator/>
      </w:r>
    </w:p>
  </w:endnote>
  <w:endnote w:type="continuationSeparator" w:id="0">
    <w:p w14:paraId="6B881300" w14:textId="77777777" w:rsidR="00BE574B" w:rsidRDefault="00BE574B" w:rsidP="00B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D5AD" w14:textId="77777777" w:rsidR="00BE574B" w:rsidRDefault="00BE574B" w:rsidP="00BE574B">
      <w:pPr>
        <w:spacing w:after="0" w:line="240" w:lineRule="auto"/>
      </w:pPr>
      <w:r>
        <w:separator/>
      </w:r>
    </w:p>
  </w:footnote>
  <w:footnote w:type="continuationSeparator" w:id="0">
    <w:p w14:paraId="44E78522" w14:textId="77777777" w:rsidR="00BE574B" w:rsidRDefault="00BE574B" w:rsidP="00BE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61F7"/>
    <w:multiLevelType w:val="hybridMultilevel"/>
    <w:tmpl w:val="0F3859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810B86"/>
    <w:multiLevelType w:val="hybridMultilevel"/>
    <w:tmpl w:val="8B44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563"/>
    <w:multiLevelType w:val="hybridMultilevel"/>
    <w:tmpl w:val="F1DE8C06"/>
    <w:lvl w:ilvl="0" w:tplc="FD7E5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A51"/>
    <w:multiLevelType w:val="hybridMultilevel"/>
    <w:tmpl w:val="B74ED40E"/>
    <w:lvl w:ilvl="0" w:tplc="22A6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4841"/>
    <w:multiLevelType w:val="hybridMultilevel"/>
    <w:tmpl w:val="C6F070AC"/>
    <w:lvl w:ilvl="0" w:tplc="0CCC6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4C84"/>
    <w:multiLevelType w:val="hybridMultilevel"/>
    <w:tmpl w:val="E8D83E74"/>
    <w:lvl w:ilvl="0" w:tplc="A48C0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7"/>
    <w:rsid w:val="00026D49"/>
    <w:rsid w:val="00031254"/>
    <w:rsid w:val="00035223"/>
    <w:rsid w:val="000606F6"/>
    <w:rsid w:val="00067FED"/>
    <w:rsid w:val="00080A5A"/>
    <w:rsid w:val="000B3413"/>
    <w:rsid w:val="001345D1"/>
    <w:rsid w:val="00142DFD"/>
    <w:rsid w:val="00173389"/>
    <w:rsid w:val="00182E19"/>
    <w:rsid w:val="001F3FCD"/>
    <w:rsid w:val="002057E8"/>
    <w:rsid w:val="00207C1A"/>
    <w:rsid w:val="00210D5A"/>
    <w:rsid w:val="00236998"/>
    <w:rsid w:val="00236B62"/>
    <w:rsid w:val="00237952"/>
    <w:rsid w:val="00243472"/>
    <w:rsid w:val="00263EF3"/>
    <w:rsid w:val="00272D92"/>
    <w:rsid w:val="002911A7"/>
    <w:rsid w:val="002A5EBE"/>
    <w:rsid w:val="003111E0"/>
    <w:rsid w:val="00315F56"/>
    <w:rsid w:val="00345167"/>
    <w:rsid w:val="00352E49"/>
    <w:rsid w:val="00392755"/>
    <w:rsid w:val="003B1765"/>
    <w:rsid w:val="003C3F5E"/>
    <w:rsid w:val="00400B77"/>
    <w:rsid w:val="00423E13"/>
    <w:rsid w:val="0043482B"/>
    <w:rsid w:val="00440359"/>
    <w:rsid w:val="00444F31"/>
    <w:rsid w:val="0045577C"/>
    <w:rsid w:val="00474C42"/>
    <w:rsid w:val="004965CC"/>
    <w:rsid w:val="004B2993"/>
    <w:rsid w:val="004D492A"/>
    <w:rsid w:val="004D5A42"/>
    <w:rsid w:val="004E39B5"/>
    <w:rsid w:val="00504AD1"/>
    <w:rsid w:val="005051BB"/>
    <w:rsid w:val="0050733A"/>
    <w:rsid w:val="005076DA"/>
    <w:rsid w:val="00521342"/>
    <w:rsid w:val="00541CFA"/>
    <w:rsid w:val="00580662"/>
    <w:rsid w:val="005D0F03"/>
    <w:rsid w:val="005E7D4D"/>
    <w:rsid w:val="005F71D7"/>
    <w:rsid w:val="00600435"/>
    <w:rsid w:val="00605DB0"/>
    <w:rsid w:val="0063756B"/>
    <w:rsid w:val="0064109C"/>
    <w:rsid w:val="00655B6B"/>
    <w:rsid w:val="006651BA"/>
    <w:rsid w:val="006841AC"/>
    <w:rsid w:val="006B7D9C"/>
    <w:rsid w:val="006C1B32"/>
    <w:rsid w:val="006D5892"/>
    <w:rsid w:val="006D6F2C"/>
    <w:rsid w:val="006F0F5F"/>
    <w:rsid w:val="00706E4C"/>
    <w:rsid w:val="007158AD"/>
    <w:rsid w:val="0072259E"/>
    <w:rsid w:val="00756E12"/>
    <w:rsid w:val="0076490D"/>
    <w:rsid w:val="0078028B"/>
    <w:rsid w:val="007A5F75"/>
    <w:rsid w:val="007B4B73"/>
    <w:rsid w:val="007B5D13"/>
    <w:rsid w:val="007C0F7F"/>
    <w:rsid w:val="00820099"/>
    <w:rsid w:val="008202CF"/>
    <w:rsid w:val="008451D6"/>
    <w:rsid w:val="00873343"/>
    <w:rsid w:val="00907941"/>
    <w:rsid w:val="00935613"/>
    <w:rsid w:val="009633A8"/>
    <w:rsid w:val="009656EC"/>
    <w:rsid w:val="00980A4C"/>
    <w:rsid w:val="009831B4"/>
    <w:rsid w:val="009900D7"/>
    <w:rsid w:val="00993A49"/>
    <w:rsid w:val="009A4618"/>
    <w:rsid w:val="009C1551"/>
    <w:rsid w:val="009D51F6"/>
    <w:rsid w:val="009F28CA"/>
    <w:rsid w:val="009F7BCF"/>
    <w:rsid w:val="00AD10B0"/>
    <w:rsid w:val="00AD45EE"/>
    <w:rsid w:val="00B45AEF"/>
    <w:rsid w:val="00B56677"/>
    <w:rsid w:val="00B60C9C"/>
    <w:rsid w:val="00B63CCD"/>
    <w:rsid w:val="00B87779"/>
    <w:rsid w:val="00BA6233"/>
    <w:rsid w:val="00BB6956"/>
    <w:rsid w:val="00BE574B"/>
    <w:rsid w:val="00C15342"/>
    <w:rsid w:val="00C256F2"/>
    <w:rsid w:val="00C40217"/>
    <w:rsid w:val="00C40267"/>
    <w:rsid w:val="00C41B65"/>
    <w:rsid w:val="00C57DD3"/>
    <w:rsid w:val="00C64F3F"/>
    <w:rsid w:val="00CA2561"/>
    <w:rsid w:val="00D0068C"/>
    <w:rsid w:val="00D06282"/>
    <w:rsid w:val="00D2448F"/>
    <w:rsid w:val="00D62B2E"/>
    <w:rsid w:val="00D63235"/>
    <w:rsid w:val="00D87EB4"/>
    <w:rsid w:val="00D9278B"/>
    <w:rsid w:val="00D97B27"/>
    <w:rsid w:val="00DA180E"/>
    <w:rsid w:val="00DB25A7"/>
    <w:rsid w:val="00DC2A5E"/>
    <w:rsid w:val="00DE03D3"/>
    <w:rsid w:val="00DE2AF9"/>
    <w:rsid w:val="00DF3A14"/>
    <w:rsid w:val="00E30E3F"/>
    <w:rsid w:val="00E40FB6"/>
    <w:rsid w:val="00E53822"/>
    <w:rsid w:val="00E646AF"/>
    <w:rsid w:val="00E90400"/>
    <w:rsid w:val="00EA7201"/>
    <w:rsid w:val="00EC1194"/>
    <w:rsid w:val="00ED663B"/>
    <w:rsid w:val="00EE2092"/>
    <w:rsid w:val="00F46F13"/>
    <w:rsid w:val="00FB26EB"/>
    <w:rsid w:val="00FB5A72"/>
    <w:rsid w:val="00FC6FBD"/>
    <w:rsid w:val="00FD7366"/>
    <w:rsid w:val="00FD7F17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29BE0"/>
  <w15:chartTrackingRefBased/>
  <w15:docId w15:val="{887A92BA-D59C-4527-9997-5B5B51C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3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2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4B"/>
  </w:style>
  <w:style w:type="paragraph" w:styleId="Footer">
    <w:name w:val="footer"/>
    <w:basedOn w:val="Normal"/>
    <w:link w:val="FooterChar"/>
    <w:uiPriority w:val="99"/>
    <w:unhideWhenUsed/>
    <w:rsid w:val="00B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Ruby</dc:creator>
  <cp:keywords/>
  <dc:description/>
  <cp:lastModifiedBy>Ake, April</cp:lastModifiedBy>
  <cp:revision>2</cp:revision>
  <dcterms:created xsi:type="dcterms:W3CDTF">2019-07-24T13:10:00Z</dcterms:created>
  <dcterms:modified xsi:type="dcterms:W3CDTF">2019-07-24T13:10:00Z</dcterms:modified>
</cp:coreProperties>
</file>